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28FC14">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ascii="黑体" w:hAnsi="黑体" w:eastAsia="黑体"/>
          <w:b/>
          <w:bCs/>
          <w:sz w:val="30"/>
          <w:szCs w:val="30"/>
        </w:rPr>
      </w:pPr>
      <w:r>
        <w:rPr>
          <w:rFonts w:ascii="黑体" w:hAnsi="黑体" w:eastAsia="黑体"/>
          <w:b/>
          <w:bCs/>
          <w:sz w:val="30"/>
          <w:szCs w:val="30"/>
        </w:rPr>
        <w:t>附件：</w:t>
      </w:r>
    </w:p>
    <w:p w14:paraId="33284BC2">
      <w:pPr>
        <w:jc w:val="center"/>
        <w:rPr>
          <w:rFonts w:ascii="黑体" w:hAnsi="黑体" w:eastAsia="黑体"/>
          <w:b/>
          <w:bCs/>
          <w:sz w:val="28"/>
          <w:szCs w:val="28"/>
        </w:rPr>
      </w:pPr>
      <w:r>
        <w:rPr>
          <w:rFonts w:ascii="黑体" w:hAnsi="黑体" w:eastAsia="黑体"/>
          <w:b/>
          <w:bCs/>
          <w:sz w:val="28"/>
          <w:szCs w:val="28"/>
        </w:rPr>
        <w:t>2025年科技期刊服务高质量创新发展案例征集活动表</w:t>
      </w:r>
    </w:p>
    <w:tbl>
      <w:tblPr>
        <w:tblStyle w:val="2"/>
        <w:tblW w:w="0" w:type="auto"/>
        <w:jc w:val="center"/>
        <w:shd w:val="clear" w:color="auto" w:fill="FFFFFF"/>
        <w:tblLayout w:type="autofit"/>
        <w:tblCellMar>
          <w:top w:w="0" w:type="dxa"/>
          <w:left w:w="108" w:type="dxa"/>
          <w:bottom w:w="0" w:type="dxa"/>
          <w:right w:w="108" w:type="dxa"/>
        </w:tblCellMar>
      </w:tblPr>
      <w:tblGrid>
        <w:gridCol w:w="1545"/>
        <w:gridCol w:w="1867"/>
        <w:gridCol w:w="188"/>
        <w:gridCol w:w="2340"/>
        <w:gridCol w:w="2355"/>
      </w:tblGrid>
      <w:tr w14:paraId="75D86D7D">
        <w:tblPrEx>
          <w:shd w:val="clear" w:color="auto" w:fill="FFFFFF"/>
          <w:tblCellMar>
            <w:top w:w="0" w:type="dxa"/>
            <w:left w:w="108" w:type="dxa"/>
            <w:bottom w:w="0" w:type="dxa"/>
            <w:right w:w="108" w:type="dxa"/>
          </w:tblCellMar>
        </w:tblPrEx>
        <w:trPr>
          <w:trHeight w:val="567" w:hRule="exact"/>
          <w:jc w:val="center"/>
        </w:trPr>
        <w:tc>
          <w:tcPr>
            <w:tcW w:w="15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17D41A">
            <w:pPr>
              <w:spacing w:after="0" w:line="360" w:lineRule="auto"/>
              <w:jc w:val="center"/>
              <w:rPr>
                <w:rFonts w:hint="eastAsia" w:ascii="黑体" w:hAnsi="黑体" w:eastAsia="黑体"/>
                <w:sz w:val="24"/>
              </w:rPr>
            </w:pPr>
            <w:r>
              <w:rPr>
                <w:rFonts w:hint="eastAsia" w:ascii="黑体" w:hAnsi="黑体" w:eastAsia="黑体"/>
                <w:sz w:val="24"/>
              </w:rPr>
              <w:t>申报单位</w:t>
            </w:r>
          </w:p>
        </w:tc>
        <w:tc>
          <w:tcPr>
            <w:tcW w:w="6750" w:type="dxa"/>
            <w:gridSpan w:val="4"/>
            <w:tcBorders>
              <w:top w:val="single" w:color="000000" w:sz="4" w:space="0"/>
              <w:left w:val="nil"/>
              <w:bottom w:val="single" w:color="000000" w:sz="4" w:space="0"/>
              <w:right w:val="single" w:color="000000" w:sz="4" w:space="0"/>
            </w:tcBorders>
            <w:shd w:val="clear" w:color="auto" w:fill="FFFFFF"/>
            <w:noWrap w:val="0"/>
            <w:vAlign w:val="center"/>
          </w:tcPr>
          <w:p w14:paraId="115AA307">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ascii="仿宋" w:hAnsi="仿宋" w:eastAsia="仿宋"/>
                <w:sz w:val="24"/>
              </w:rPr>
            </w:pPr>
          </w:p>
        </w:tc>
      </w:tr>
      <w:tr w14:paraId="62716462">
        <w:tblPrEx>
          <w:tblCellMar>
            <w:top w:w="0" w:type="dxa"/>
            <w:left w:w="108" w:type="dxa"/>
            <w:bottom w:w="0" w:type="dxa"/>
            <w:right w:w="108" w:type="dxa"/>
          </w:tblCellMar>
        </w:tblPrEx>
        <w:trPr>
          <w:trHeight w:val="567" w:hRule="exact"/>
          <w:jc w:val="center"/>
        </w:trPr>
        <w:tc>
          <w:tcPr>
            <w:tcW w:w="1545" w:type="dxa"/>
            <w:vMerge w:val="restart"/>
            <w:tcBorders>
              <w:top w:val="nil"/>
              <w:left w:val="single" w:color="000000" w:sz="4" w:space="0"/>
              <w:bottom w:val="single" w:color="000000" w:sz="4" w:space="0"/>
              <w:right w:val="single" w:color="000000" w:sz="4" w:space="0"/>
            </w:tcBorders>
            <w:shd w:val="clear" w:color="auto" w:fill="FFFFFF"/>
            <w:noWrap w:val="0"/>
            <w:vAlign w:val="center"/>
          </w:tcPr>
          <w:p w14:paraId="4EBC37C7">
            <w:pPr>
              <w:spacing w:after="0" w:line="360" w:lineRule="auto"/>
              <w:jc w:val="center"/>
              <w:rPr>
                <w:rFonts w:ascii="黑体" w:hAnsi="黑体" w:eastAsia="黑体"/>
                <w:sz w:val="24"/>
              </w:rPr>
            </w:pPr>
            <w:r>
              <w:rPr>
                <w:rFonts w:ascii="黑体" w:hAnsi="黑体" w:eastAsia="黑体"/>
                <w:sz w:val="24"/>
              </w:rPr>
              <w:t>联系人</w:t>
            </w:r>
          </w:p>
        </w:tc>
        <w:tc>
          <w:tcPr>
            <w:tcW w:w="2055" w:type="dxa"/>
            <w:gridSpan w:val="2"/>
            <w:vMerge w:val="restart"/>
            <w:tcBorders>
              <w:top w:val="nil"/>
              <w:left w:val="nil"/>
              <w:bottom w:val="single" w:color="000000" w:sz="4" w:space="0"/>
              <w:right w:val="single" w:color="000000" w:sz="4" w:space="0"/>
            </w:tcBorders>
            <w:shd w:val="clear" w:color="auto" w:fill="FFFFFF"/>
            <w:noWrap w:val="0"/>
            <w:vAlign w:val="center"/>
          </w:tcPr>
          <w:p w14:paraId="40D9C29C">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ascii="仿宋" w:hAnsi="仿宋" w:eastAsia="仿宋"/>
                <w:sz w:val="24"/>
              </w:rPr>
            </w:pPr>
          </w:p>
        </w:tc>
        <w:tc>
          <w:tcPr>
            <w:tcW w:w="2340" w:type="dxa"/>
            <w:tcBorders>
              <w:top w:val="single" w:color="000000" w:sz="4" w:space="0"/>
              <w:left w:val="nil"/>
              <w:bottom w:val="single" w:color="000000" w:sz="4" w:space="0"/>
              <w:right w:val="single" w:color="000000" w:sz="4" w:space="0"/>
            </w:tcBorders>
            <w:shd w:val="clear" w:color="auto" w:fill="FFFFFF"/>
            <w:noWrap w:val="0"/>
            <w:vAlign w:val="center"/>
          </w:tcPr>
          <w:p w14:paraId="5F5993DA">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ascii="黑体" w:hAnsi="黑体" w:eastAsia="黑体"/>
                <w:sz w:val="24"/>
              </w:rPr>
            </w:pPr>
            <w:r>
              <w:rPr>
                <w:rFonts w:ascii="黑体" w:hAnsi="黑体" w:eastAsia="黑体"/>
                <w:sz w:val="24"/>
              </w:rPr>
              <w:t>部门及职务</w:t>
            </w:r>
          </w:p>
        </w:tc>
        <w:tc>
          <w:tcPr>
            <w:tcW w:w="2355" w:type="dxa"/>
            <w:tcBorders>
              <w:top w:val="single" w:color="000000" w:sz="4" w:space="0"/>
              <w:left w:val="nil"/>
              <w:bottom w:val="single" w:color="000000" w:sz="4" w:space="0"/>
              <w:right w:val="single" w:color="000000" w:sz="4" w:space="0"/>
            </w:tcBorders>
            <w:shd w:val="clear" w:color="auto" w:fill="FFFFFF"/>
            <w:noWrap w:val="0"/>
            <w:vAlign w:val="center"/>
          </w:tcPr>
          <w:p w14:paraId="31750612">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sz w:val="24"/>
              </w:rPr>
            </w:pPr>
          </w:p>
        </w:tc>
      </w:tr>
      <w:tr w14:paraId="649AC2FC">
        <w:tblPrEx>
          <w:tblCellMar>
            <w:top w:w="0" w:type="dxa"/>
            <w:left w:w="108" w:type="dxa"/>
            <w:bottom w:w="0" w:type="dxa"/>
            <w:right w:w="108" w:type="dxa"/>
          </w:tblCellMar>
        </w:tblPrEx>
        <w:trPr>
          <w:trHeight w:val="567" w:hRule="exact"/>
          <w:jc w:val="center"/>
        </w:trPr>
        <w:tc>
          <w:tcPr>
            <w:tcW w:w="0" w:type="auto"/>
            <w:vMerge w:val="continue"/>
            <w:tcBorders>
              <w:top w:val="nil"/>
              <w:left w:val="single" w:color="000000" w:sz="4" w:space="0"/>
              <w:bottom w:val="single" w:color="000000" w:sz="4" w:space="0"/>
              <w:right w:val="single" w:color="000000" w:sz="4" w:space="0"/>
            </w:tcBorders>
            <w:shd w:val="clear" w:color="auto" w:fill="FFFFFF"/>
            <w:noWrap w:val="0"/>
            <w:vAlign w:val="center"/>
          </w:tcPr>
          <w:p w14:paraId="608B89FE">
            <w:pPr>
              <w:rPr>
                <w:rFonts w:ascii="黑体" w:hAnsi="黑体" w:eastAsia="黑体"/>
                <w:sz w:val="24"/>
              </w:rPr>
            </w:pPr>
          </w:p>
        </w:tc>
        <w:tc>
          <w:tcPr>
            <w:tcW w:w="0" w:type="auto"/>
            <w:gridSpan w:val="2"/>
            <w:vMerge w:val="continue"/>
            <w:tcBorders>
              <w:top w:val="nil"/>
              <w:left w:val="nil"/>
              <w:bottom w:val="single" w:color="000000" w:sz="4" w:space="0"/>
              <w:right w:val="single" w:color="000000" w:sz="4" w:space="0"/>
            </w:tcBorders>
            <w:shd w:val="clear" w:color="auto" w:fill="FFFFFF"/>
            <w:noWrap w:val="0"/>
            <w:vAlign w:val="center"/>
          </w:tcPr>
          <w:p w14:paraId="009AB634">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ascii="黑体" w:hAnsi="黑体" w:eastAsia="黑体"/>
                <w:sz w:val="24"/>
              </w:rPr>
            </w:pPr>
          </w:p>
        </w:tc>
        <w:tc>
          <w:tcPr>
            <w:tcW w:w="2340" w:type="dxa"/>
            <w:tcBorders>
              <w:top w:val="nil"/>
              <w:left w:val="nil"/>
              <w:bottom w:val="single" w:color="000000" w:sz="4" w:space="0"/>
              <w:right w:val="single" w:color="000000" w:sz="4" w:space="0"/>
            </w:tcBorders>
            <w:shd w:val="clear" w:color="auto" w:fill="FFFFFF"/>
            <w:noWrap w:val="0"/>
            <w:vAlign w:val="center"/>
          </w:tcPr>
          <w:p w14:paraId="3CD9BB55">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ascii="黑体" w:hAnsi="黑体" w:eastAsia="黑体"/>
                <w:sz w:val="24"/>
              </w:rPr>
            </w:pPr>
            <w:r>
              <w:rPr>
                <w:rFonts w:ascii="黑体" w:hAnsi="黑体" w:eastAsia="黑体"/>
                <w:sz w:val="24"/>
              </w:rPr>
              <w:t>联系电话</w:t>
            </w:r>
          </w:p>
        </w:tc>
        <w:tc>
          <w:tcPr>
            <w:tcW w:w="2355" w:type="dxa"/>
            <w:tcBorders>
              <w:top w:val="nil"/>
              <w:left w:val="nil"/>
              <w:bottom w:val="single" w:color="000000" w:sz="4" w:space="0"/>
              <w:right w:val="single" w:color="000000" w:sz="4" w:space="0"/>
            </w:tcBorders>
            <w:shd w:val="clear" w:color="auto" w:fill="FFFFFF"/>
            <w:noWrap w:val="0"/>
            <w:vAlign w:val="center"/>
          </w:tcPr>
          <w:p w14:paraId="48154C4E">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sz w:val="24"/>
              </w:rPr>
            </w:pPr>
          </w:p>
        </w:tc>
      </w:tr>
      <w:tr w14:paraId="379AFD73">
        <w:tblPrEx>
          <w:tblCellMar>
            <w:top w:w="0" w:type="dxa"/>
            <w:left w:w="108" w:type="dxa"/>
            <w:bottom w:w="0" w:type="dxa"/>
            <w:right w:w="108" w:type="dxa"/>
          </w:tblCellMar>
        </w:tblPrEx>
        <w:trPr>
          <w:trHeight w:val="567" w:hRule="exact"/>
          <w:jc w:val="center"/>
        </w:trPr>
        <w:tc>
          <w:tcPr>
            <w:tcW w:w="0" w:type="auto"/>
            <w:vMerge w:val="continue"/>
            <w:tcBorders>
              <w:top w:val="nil"/>
              <w:left w:val="single" w:color="000000" w:sz="4" w:space="0"/>
              <w:bottom w:val="single" w:color="000000" w:sz="4" w:space="0"/>
              <w:right w:val="single" w:color="000000" w:sz="4" w:space="0"/>
            </w:tcBorders>
            <w:shd w:val="clear" w:color="auto" w:fill="FFFFFF"/>
            <w:noWrap w:val="0"/>
            <w:vAlign w:val="center"/>
          </w:tcPr>
          <w:p w14:paraId="098A31BA">
            <w:pPr>
              <w:rPr>
                <w:rFonts w:ascii="黑体" w:hAnsi="黑体" w:eastAsia="黑体"/>
                <w:sz w:val="24"/>
              </w:rPr>
            </w:pPr>
          </w:p>
        </w:tc>
        <w:tc>
          <w:tcPr>
            <w:tcW w:w="0" w:type="auto"/>
            <w:gridSpan w:val="2"/>
            <w:vMerge w:val="continue"/>
            <w:tcBorders>
              <w:top w:val="nil"/>
              <w:left w:val="nil"/>
              <w:bottom w:val="single" w:color="000000" w:sz="4" w:space="0"/>
              <w:right w:val="single" w:color="000000" w:sz="4" w:space="0"/>
            </w:tcBorders>
            <w:shd w:val="clear" w:color="auto" w:fill="FFFFFF"/>
            <w:noWrap w:val="0"/>
            <w:vAlign w:val="center"/>
          </w:tcPr>
          <w:p w14:paraId="1FC88BA0">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ascii="黑体" w:hAnsi="黑体" w:eastAsia="黑体"/>
                <w:sz w:val="24"/>
              </w:rPr>
            </w:pPr>
          </w:p>
        </w:tc>
        <w:tc>
          <w:tcPr>
            <w:tcW w:w="2340" w:type="dxa"/>
            <w:tcBorders>
              <w:top w:val="nil"/>
              <w:left w:val="nil"/>
              <w:bottom w:val="single" w:color="000000" w:sz="4" w:space="0"/>
              <w:right w:val="single" w:color="000000" w:sz="4" w:space="0"/>
            </w:tcBorders>
            <w:shd w:val="clear" w:color="auto" w:fill="FFFFFF"/>
            <w:noWrap w:val="0"/>
            <w:vAlign w:val="center"/>
          </w:tcPr>
          <w:p w14:paraId="54848D6A">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ascii="黑体" w:hAnsi="黑体" w:eastAsia="黑体"/>
                <w:sz w:val="24"/>
              </w:rPr>
            </w:pPr>
            <w:r>
              <w:rPr>
                <w:rFonts w:ascii="黑体" w:hAnsi="黑体" w:eastAsia="黑体"/>
                <w:sz w:val="24"/>
              </w:rPr>
              <w:t>联系邮箱</w:t>
            </w:r>
          </w:p>
        </w:tc>
        <w:tc>
          <w:tcPr>
            <w:tcW w:w="2355" w:type="dxa"/>
            <w:tcBorders>
              <w:top w:val="nil"/>
              <w:left w:val="nil"/>
              <w:bottom w:val="single" w:color="000000" w:sz="4" w:space="0"/>
              <w:right w:val="single" w:color="000000" w:sz="4" w:space="0"/>
            </w:tcBorders>
            <w:shd w:val="clear" w:color="auto" w:fill="FFFFFF"/>
            <w:noWrap w:val="0"/>
            <w:vAlign w:val="center"/>
          </w:tcPr>
          <w:p w14:paraId="4424B28A">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sz w:val="24"/>
              </w:rPr>
            </w:pPr>
          </w:p>
        </w:tc>
      </w:tr>
      <w:tr w14:paraId="4FBD56D6">
        <w:tblPrEx>
          <w:tblCellMar>
            <w:top w:w="0" w:type="dxa"/>
            <w:left w:w="108" w:type="dxa"/>
            <w:bottom w:w="0" w:type="dxa"/>
            <w:right w:w="108" w:type="dxa"/>
          </w:tblCellMar>
        </w:tblPrEx>
        <w:trPr>
          <w:trHeight w:val="567" w:hRule="exact"/>
          <w:jc w:val="center"/>
        </w:trPr>
        <w:tc>
          <w:tcPr>
            <w:tcW w:w="1545" w:type="dxa"/>
            <w:tcBorders>
              <w:top w:val="nil"/>
              <w:left w:val="single" w:color="000000" w:sz="4" w:space="0"/>
              <w:bottom w:val="single" w:color="000000" w:sz="4" w:space="0"/>
              <w:right w:val="single" w:color="000000" w:sz="4" w:space="0"/>
            </w:tcBorders>
            <w:shd w:val="clear" w:color="auto" w:fill="FFFFFF"/>
            <w:noWrap w:val="0"/>
            <w:vAlign w:val="center"/>
          </w:tcPr>
          <w:p w14:paraId="11886183">
            <w:pPr>
              <w:spacing w:after="0" w:line="360" w:lineRule="auto"/>
              <w:jc w:val="center"/>
              <w:rPr>
                <w:rFonts w:ascii="黑体" w:hAnsi="黑体" w:eastAsia="黑体"/>
                <w:sz w:val="24"/>
              </w:rPr>
            </w:pPr>
            <w:r>
              <w:rPr>
                <w:rFonts w:ascii="黑体" w:hAnsi="黑体" w:eastAsia="黑体"/>
                <w:sz w:val="24"/>
              </w:rPr>
              <w:t>联系地址</w:t>
            </w:r>
          </w:p>
        </w:tc>
        <w:tc>
          <w:tcPr>
            <w:tcW w:w="6750" w:type="dxa"/>
            <w:gridSpan w:val="4"/>
            <w:tcBorders>
              <w:top w:val="nil"/>
              <w:left w:val="nil"/>
              <w:bottom w:val="single" w:color="000000" w:sz="4" w:space="0"/>
              <w:right w:val="single" w:color="000000" w:sz="4" w:space="0"/>
            </w:tcBorders>
            <w:shd w:val="clear" w:color="auto" w:fill="FFFFFF"/>
            <w:noWrap w:val="0"/>
            <w:vAlign w:val="center"/>
          </w:tcPr>
          <w:p w14:paraId="0FA83AD7">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ascii="仿宋" w:hAnsi="仿宋" w:eastAsia="仿宋"/>
                <w:sz w:val="24"/>
              </w:rPr>
            </w:pPr>
          </w:p>
        </w:tc>
      </w:tr>
      <w:tr w14:paraId="793ECC71">
        <w:tblPrEx>
          <w:tblCellMar>
            <w:top w:w="0" w:type="dxa"/>
            <w:left w:w="108" w:type="dxa"/>
            <w:bottom w:w="0" w:type="dxa"/>
            <w:right w:w="108" w:type="dxa"/>
          </w:tblCellMar>
        </w:tblPrEx>
        <w:trPr>
          <w:trHeight w:val="567" w:hRule="exact"/>
          <w:jc w:val="center"/>
        </w:trPr>
        <w:tc>
          <w:tcPr>
            <w:tcW w:w="1545" w:type="dxa"/>
            <w:tcBorders>
              <w:top w:val="nil"/>
              <w:left w:val="single" w:color="000000" w:sz="4" w:space="0"/>
              <w:bottom w:val="single" w:color="000000" w:sz="4" w:space="0"/>
              <w:right w:val="single" w:color="000000" w:sz="4" w:space="0"/>
            </w:tcBorders>
            <w:shd w:val="clear" w:color="auto" w:fill="FFFFFF"/>
            <w:noWrap w:val="0"/>
            <w:vAlign w:val="center"/>
          </w:tcPr>
          <w:p w14:paraId="3AED3925">
            <w:pPr>
              <w:spacing w:after="0" w:line="360" w:lineRule="auto"/>
              <w:jc w:val="center"/>
              <w:rPr>
                <w:rFonts w:ascii="黑体" w:hAnsi="黑体" w:eastAsia="黑体"/>
                <w:sz w:val="24"/>
              </w:rPr>
            </w:pPr>
            <w:r>
              <w:rPr>
                <w:rFonts w:ascii="黑体" w:hAnsi="黑体" w:eastAsia="黑体"/>
                <w:sz w:val="24"/>
              </w:rPr>
              <w:t>案例名称</w:t>
            </w:r>
          </w:p>
        </w:tc>
        <w:tc>
          <w:tcPr>
            <w:tcW w:w="6750" w:type="dxa"/>
            <w:gridSpan w:val="4"/>
            <w:tcBorders>
              <w:top w:val="nil"/>
              <w:left w:val="nil"/>
              <w:bottom w:val="single" w:color="000000" w:sz="4" w:space="0"/>
              <w:right w:val="single" w:color="000000" w:sz="4" w:space="0"/>
            </w:tcBorders>
            <w:shd w:val="clear" w:color="auto" w:fill="FFFFFF"/>
            <w:noWrap w:val="0"/>
            <w:vAlign w:val="center"/>
          </w:tcPr>
          <w:p w14:paraId="1DEB2E0A">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ascii="仿宋" w:hAnsi="仿宋" w:eastAsia="仿宋"/>
                <w:sz w:val="24"/>
              </w:rPr>
            </w:pPr>
            <w:r>
              <w:rPr>
                <w:rFonts w:ascii="仿宋" w:hAnsi="仿宋" w:eastAsia="仿宋"/>
                <w:sz w:val="21"/>
                <w:szCs w:val="21"/>
              </w:rPr>
              <w:t>（非“案例类别”，须另拟标题）</w:t>
            </w:r>
          </w:p>
        </w:tc>
      </w:tr>
      <w:tr w14:paraId="2B82D42D">
        <w:tblPrEx>
          <w:tblCellMar>
            <w:top w:w="0" w:type="dxa"/>
            <w:left w:w="108" w:type="dxa"/>
            <w:bottom w:w="0" w:type="dxa"/>
            <w:right w:w="108" w:type="dxa"/>
          </w:tblCellMar>
        </w:tblPrEx>
        <w:trPr>
          <w:jc w:val="center"/>
        </w:trPr>
        <w:tc>
          <w:tcPr>
            <w:tcW w:w="1545" w:type="dxa"/>
            <w:vMerge w:val="restart"/>
            <w:tcBorders>
              <w:top w:val="nil"/>
              <w:left w:val="single" w:color="000000" w:sz="4" w:space="0"/>
              <w:bottom w:val="single" w:color="000000" w:sz="4" w:space="0"/>
              <w:right w:val="single" w:color="000000" w:sz="4" w:space="0"/>
            </w:tcBorders>
            <w:shd w:val="clear" w:color="auto" w:fill="FFFFFF"/>
            <w:noWrap w:val="0"/>
            <w:vAlign w:val="center"/>
          </w:tcPr>
          <w:p w14:paraId="72B6CE86">
            <w:pPr>
              <w:jc w:val="center"/>
              <w:rPr>
                <w:rFonts w:ascii="黑体" w:hAnsi="黑体" w:eastAsia="黑体"/>
                <w:sz w:val="24"/>
              </w:rPr>
            </w:pPr>
            <w:r>
              <w:rPr>
                <w:rFonts w:ascii="黑体" w:hAnsi="黑体" w:eastAsia="黑体"/>
                <w:sz w:val="24"/>
              </w:rPr>
              <w:t>案例类别</w:t>
            </w:r>
          </w:p>
        </w:tc>
        <w:tc>
          <w:tcPr>
            <w:tcW w:w="1867" w:type="dxa"/>
            <w:tcBorders>
              <w:top w:val="nil"/>
              <w:left w:val="nil"/>
              <w:bottom w:val="single" w:color="000000" w:sz="4" w:space="0"/>
              <w:right w:val="single" w:color="000000" w:sz="4" w:space="0"/>
            </w:tcBorders>
            <w:shd w:val="clear" w:color="auto" w:fill="FFFFFF"/>
            <w:noWrap w:val="0"/>
            <w:vAlign w:val="center"/>
          </w:tcPr>
          <w:p w14:paraId="2F80B0AE">
            <w:pPr>
              <w:jc w:val="both"/>
              <w:rPr>
                <w:rFonts w:ascii="黑体" w:hAnsi="黑体" w:eastAsia="黑体"/>
                <w:sz w:val="24"/>
              </w:rPr>
            </w:pPr>
            <w:r>
              <w:rPr>
                <w:rFonts w:hint="eastAsia" w:ascii="黑体" w:hAnsi="黑体" w:eastAsia="黑体"/>
                <w:sz w:val="24"/>
                <w:lang w:eastAsia="zh-CN"/>
              </w:rPr>
              <w:t>□</w:t>
            </w:r>
            <w:r>
              <w:rPr>
                <w:rFonts w:ascii="黑体" w:hAnsi="黑体" w:eastAsia="黑体"/>
                <w:sz w:val="24"/>
              </w:rPr>
              <w:t>科技期刊支撑重大科技创新成果案例</w:t>
            </w:r>
          </w:p>
        </w:tc>
        <w:tc>
          <w:tcPr>
            <w:tcW w:w="4883" w:type="dxa"/>
            <w:gridSpan w:val="3"/>
            <w:tcBorders>
              <w:top w:val="single" w:color="000000" w:sz="4" w:space="0"/>
              <w:left w:val="nil"/>
              <w:bottom w:val="single" w:color="000000" w:sz="4" w:space="0"/>
              <w:right w:val="single" w:color="000000" w:sz="4" w:space="0"/>
            </w:tcBorders>
            <w:shd w:val="clear" w:color="auto" w:fill="FFFFFF"/>
            <w:noWrap w:val="0"/>
            <w:vAlign w:val="center"/>
          </w:tcPr>
          <w:p w14:paraId="4BAE0EDD">
            <w:pPr>
              <w:rPr>
                <w:rFonts w:ascii="仿宋" w:hAnsi="仿宋" w:eastAsia="仿宋"/>
                <w:sz w:val="24"/>
              </w:rPr>
            </w:pPr>
            <w:r>
              <w:rPr>
                <w:rFonts w:ascii="仿宋" w:hAnsi="仿宋" w:eastAsia="仿宋"/>
                <w:sz w:val="24"/>
              </w:rPr>
              <w:t>科技期刊充分发挥科技工作“龙头”和“龙尾”的作用，面向世界科技前沿，面向经济主战场，面向国家重大需求，面向人民生命健康，快速抓住前沿自主科技创新成果评鉴和记录的主动权，发表一系列重大原创科技创新成果，助力实现国家科技自立自强，在解决本土乃至世界科技难题上形成了中国科技期刊品牌特色和国际影响力。</w:t>
            </w:r>
          </w:p>
        </w:tc>
      </w:tr>
      <w:tr w14:paraId="51BA170F">
        <w:tblPrEx>
          <w:tblCellMar>
            <w:top w:w="0" w:type="dxa"/>
            <w:left w:w="108" w:type="dxa"/>
            <w:bottom w:w="0" w:type="dxa"/>
            <w:right w:w="108" w:type="dxa"/>
          </w:tblCellMar>
        </w:tblPrEx>
        <w:trPr>
          <w:jc w:val="center"/>
        </w:trPr>
        <w:tc>
          <w:tcPr>
            <w:tcW w:w="0" w:type="auto"/>
            <w:vMerge w:val="continue"/>
            <w:tcBorders>
              <w:top w:val="nil"/>
              <w:left w:val="single" w:color="000000" w:sz="4" w:space="0"/>
              <w:bottom w:val="single" w:color="000000" w:sz="4" w:space="0"/>
              <w:right w:val="single" w:color="000000" w:sz="4" w:space="0"/>
            </w:tcBorders>
            <w:shd w:val="clear" w:color="auto" w:fill="FFFFFF"/>
            <w:noWrap w:val="0"/>
            <w:vAlign w:val="center"/>
          </w:tcPr>
          <w:p w14:paraId="40E7F503">
            <w:pPr>
              <w:rPr>
                <w:rFonts w:ascii="黑体" w:hAnsi="黑体" w:eastAsia="黑体"/>
                <w:sz w:val="24"/>
              </w:rPr>
            </w:pPr>
          </w:p>
        </w:tc>
        <w:tc>
          <w:tcPr>
            <w:tcW w:w="1867" w:type="dxa"/>
            <w:tcBorders>
              <w:top w:val="nil"/>
              <w:left w:val="nil"/>
              <w:bottom w:val="single" w:color="000000" w:sz="4" w:space="0"/>
              <w:right w:val="single" w:color="000000" w:sz="4" w:space="0"/>
            </w:tcBorders>
            <w:shd w:val="clear" w:color="auto" w:fill="FFFFFF"/>
            <w:noWrap w:val="0"/>
            <w:vAlign w:val="center"/>
          </w:tcPr>
          <w:p w14:paraId="2327013E">
            <w:pPr>
              <w:jc w:val="both"/>
              <w:rPr>
                <w:rFonts w:ascii="黑体" w:hAnsi="黑体" w:eastAsia="黑体"/>
                <w:sz w:val="24"/>
              </w:rPr>
            </w:pPr>
            <w:r>
              <w:rPr>
                <w:rFonts w:hint="eastAsia" w:ascii="黑体" w:hAnsi="黑体" w:eastAsia="黑体"/>
                <w:sz w:val="24"/>
                <w:lang w:eastAsia="zh-CN"/>
              </w:rPr>
              <w:t>□</w:t>
            </w:r>
            <w:r>
              <w:rPr>
                <w:rFonts w:ascii="黑体" w:hAnsi="黑体" w:eastAsia="黑体"/>
                <w:sz w:val="24"/>
              </w:rPr>
              <w:t>科技期刊驱动产业创新发展案例</w:t>
            </w:r>
          </w:p>
        </w:tc>
        <w:tc>
          <w:tcPr>
            <w:tcW w:w="4883" w:type="dxa"/>
            <w:gridSpan w:val="3"/>
            <w:tcBorders>
              <w:top w:val="nil"/>
              <w:left w:val="nil"/>
              <w:bottom w:val="single" w:color="000000" w:sz="4" w:space="0"/>
              <w:right w:val="single" w:color="000000" w:sz="4" w:space="0"/>
            </w:tcBorders>
            <w:shd w:val="clear" w:color="auto" w:fill="FFFFFF"/>
            <w:noWrap w:val="0"/>
            <w:vAlign w:val="center"/>
          </w:tcPr>
          <w:p w14:paraId="2ECA28F9">
            <w:pPr>
              <w:rPr>
                <w:rFonts w:ascii="仿宋" w:hAnsi="仿宋" w:eastAsia="仿宋"/>
                <w:sz w:val="24"/>
              </w:rPr>
            </w:pPr>
            <w:r>
              <w:rPr>
                <w:rFonts w:ascii="仿宋" w:hAnsi="仿宋" w:eastAsia="仿宋"/>
                <w:sz w:val="24"/>
              </w:rPr>
              <w:t>科技期刊立足产业创新需求，发表创新性和实用性科研成果，推动关键核心技术攻关和产业化应用，加速科技成果向现实生产力转化，积极探索“期刊+会议”“期刊+孵化器”“期刊+产业园区”等创新模式，构建起“创新策源-技术转移-产业孵化-市场应用”的全链条服务体系，推动科技创新与实体经济深度融合。</w:t>
            </w:r>
          </w:p>
        </w:tc>
      </w:tr>
      <w:tr w14:paraId="5C30D834">
        <w:tblPrEx>
          <w:tblCellMar>
            <w:top w:w="0" w:type="dxa"/>
            <w:left w:w="108" w:type="dxa"/>
            <w:bottom w:w="0" w:type="dxa"/>
            <w:right w:w="108" w:type="dxa"/>
          </w:tblCellMar>
        </w:tblPrEx>
        <w:trPr>
          <w:jc w:val="center"/>
        </w:trPr>
        <w:tc>
          <w:tcPr>
            <w:tcW w:w="0" w:type="auto"/>
            <w:vMerge w:val="continue"/>
            <w:tcBorders>
              <w:top w:val="nil"/>
              <w:left w:val="single" w:color="000000" w:sz="4" w:space="0"/>
              <w:bottom w:val="single" w:color="000000" w:sz="4" w:space="0"/>
              <w:right w:val="single" w:color="000000" w:sz="4" w:space="0"/>
            </w:tcBorders>
            <w:shd w:val="clear" w:color="auto" w:fill="FFFFFF"/>
            <w:noWrap w:val="0"/>
            <w:vAlign w:val="center"/>
          </w:tcPr>
          <w:p w14:paraId="7C793375">
            <w:pPr>
              <w:rPr>
                <w:rFonts w:ascii="黑体" w:hAnsi="黑体" w:eastAsia="黑体"/>
                <w:sz w:val="24"/>
              </w:rPr>
            </w:pPr>
          </w:p>
        </w:tc>
        <w:tc>
          <w:tcPr>
            <w:tcW w:w="1867" w:type="dxa"/>
            <w:tcBorders>
              <w:top w:val="nil"/>
              <w:left w:val="nil"/>
              <w:bottom w:val="single" w:color="auto" w:sz="4" w:space="0"/>
              <w:right w:val="single" w:color="000000" w:sz="4" w:space="0"/>
            </w:tcBorders>
            <w:shd w:val="clear" w:color="auto" w:fill="FFFFFF"/>
            <w:noWrap w:val="0"/>
            <w:vAlign w:val="center"/>
          </w:tcPr>
          <w:p w14:paraId="57BD0DA2">
            <w:pPr>
              <w:jc w:val="both"/>
              <w:rPr>
                <w:rFonts w:ascii="黑体" w:hAnsi="黑体" w:eastAsia="黑体"/>
                <w:sz w:val="24"/>
              </w:rPr>
            </w:pPr>
            <w:r>
              <w:rPr>
                <w:rFonts w:hint="eastAsia" w:ascii="黑体" w:hAnsi="黑体" w:eastAsia="黑体"/>
                <w:sz w:val="24"/>
                <w:lang w:eastAsia="zh-CN"/>
              </w:rPr>
              <w:t>□</w:t>
            </w:r>
            <w:r>
              <w:rPr>
                <w:rFonts w:ascii="黑体" w:hAnsi="黑体" w:eastAsia="黑体"/>
                <w:sz w:val="24"/>
              </w:rPr>
              <w:t>科技期刊助力地方发展案例</w:t>
            </w:r>
          </w:p>
        </w:tc>
        <w:tc>
          <w:tcPr>
            <w:tcW w:w="4883" w:type="dxa"/>
            <w:gridSpan w:val="3"/>
            <w:tcBorders>
              <w:top w:val="nil"/>
              <w:left w:val="nil"/>
              <w:bottom w:val="single" w:color="auto" w:sz="4" w:space="0"/>
              <w:right w:val="single" w:color="000000" w:sz="4" w:space="0"/>
            </w:tcBorders>
            <w:shd w:val="clear" w:color="auto" w:fill="FFFFFF"/>
            <w:noWrap w:val="0"/>
            <w:vAlign w:val="center"/>
          </w:tcPr>
          <w:p w14:paraId="2A46FF41">
            <w:pPr>
              <w:rPr>
                <w:rFonts w:ascii="仿宋" w:hAnsi="仿宋" w:eastAsia="仿宋"/>
                <w:sz w:val="24"/>
              </w:rPr>
            </w:pPr>
            <w:r>
              <w:rPr>
                <w:rFonts w:ascii="仿宋" w:hAnsi="仿宋" w:eastAsia="仿宋"/>
                <w:sz w:val="24"/>
              </w:rPr>
              <w:t>科技期刊立足地方特色科创学科和产业优势，精准定位，差异化发展，主动对接地方实验室、技术创新中心等地方战略科技力量，积极构建交流、合作的地方科技期刊生态，促进区域内人才、资金、技术、信息等关键要素的流动和融通，形成区域科技产业与科技期刊协同发展的成功模式，为地方高质量发展注入了强劲的科技动力。</w:t>
            </w:r>
          </w:p>
        </w:tc>
      </w:tr>
      <w:tr w14:paraId="227147F7">
        <w:tblPrEx>
          <w:tblCellMar>
            <w:top w:w="0" w:type="dxa"/>
            <w:left w:w="108" w:type="dxa"/>
            <w:bottom w:w="0" w:type="dxa"/>
            <w:right w:w="108" w:type="dxa"/>
          </w:tblCellMar>
        </w:tblPrEx>
        <w:trPr>
          <w:jc w:val="center"/>
        </w:trPr>
        <w:tc>
          <w:tcPr>
            <w:tcW w:w="0" w:type="auto"/>
            <w:vMerge w:val="continue"/>
            <w:tcBorders>
              <w:top w:val="nil"/>
              <w:left w:val="single" w:color="000000" w:sz="4" w:space="0"/>
              <w:bottom w:val="single" w:color="000000" w:sz="4" w:space="0"/>
              <w:right w:val="single" w:color="auto" w:sz="4" w:space="0"/>
            </w:tcBorders>
            <w:shd w:val="clear" w:color="auto" w:fill="FFFFFF"/>
            <w:noWrap w:val="0"/>
            <w:vAlign w:val="center"/>
          </w:tcPr>
          <w:p w14:paraId="08ABF641">
            <w:pPr>
              <w:rPr>
                <w:rFonts w:ascii="黑体" w:hAnsi="黑体" w:eastAsia="黑体"/>
                <w:sz w:val="24"/>
              </w:rPr>
            </w:pPr>
          </w:p>
        </w:tc>
        <w:tc>
          <w:tcPr>
            <w:tcW w:w="1867" w:type="dxa"/>
            <w:tcBorders>
              <w:top w:val="single" w:color="auto" w:sz="4" w:space="0"/>
              <w:left w:val="single" w:color="auto" w:sz="4" w:space="0"/>
              <w:bottom w:val="single" w:color="auto" w:sz="4" w:space="0"/>
              <w:right w:val="single" w:color="000000" w:sz="4" w:space="0"/>
            </w:tcBorders>
            <w:shd w:val="clear" w:color="auto" w:fill="FFFFFF"/>
            <w:noWrap w:val="0"/>
            <w:vAlign w:val="center"/>
          </w:tcPr>
          <w:p w14:paraId="79D5C688">
            <w:pPr>
              <w:jc w:val="both"/>
              <w:rPr>
                <w:rFonts w:ascii="黑体" w:hAnsi="黑体" w:eastAsia="黑体"/>
                <w:sz w:val="24"/>
              </w:rPr>
            </w:pPr>
            <w:r>
              <w:rPr>
                <w:rFonts w:hint="eastAsia" w:ascii="黑体" w:hAnsi="黑体" w:eastAsia="黑体"/>
                <w:sz w:val="24"/>
                <w:lang w:eastAsia="zh-CN"/>
              </w:rPr>
              <w:t>□</w:t>
            </w:r>
            <w:r>
              <w:rPr>
                <w:rFonts w:ascii="黑体" w:hAnsi="黑体" w:eastAsia="黑体"/>
                <w:sz w:val="24"/>
              </w:rPr>
              <w:t>科技期刊集群建设案例</w:t>
            </w:r>
          </w:p>
        </w:tc>
        <w:tc>
          <w:tcPr>
            <w:tcW w:w="4883" w:type="dxa"/>
            <w:gridSpan w:val="3"/>
            <w:tcBorders>
              <w:top w:val="single" w:color="auto" w:sz="4" w:space="0"/>
              <w:left w:val="nil"/>
              <w:bottom w:val="single" w:color="auto" w:sz="4" w:space="0"/>
              <w:right w:val="single" w:color="auto" w:sz="4" w:space="0"/>
            </w:tcBorders>
            <w:shd w:val="clear" w:color="auto" w:fill="FFFFFF"/>
            <w:noWrap w:val="0"/>
            <w:vAlign w:val="center"/>
          </w:tcPr>
          <w:p w14:paraId="09589272">
            <w:pPr>
              <w:rPr>
                <w:rFonts w:ascii="仿宋" w:hAnsi="仿宋" w:eastAsia="仿宋"/>
                <w:sz w:val="24"/>
              </w:rPr>
            </w:pPr>
            <w:r>
              <w:rPr>
                <w:rFonts w:ascii="仿宋" w:hAnsi="仿宋" w:eastAsia="仿宋"/>
                <w:sz w:val="24"/>
              </w:rPr>
              <w:t>科技期刊单位通过统筹规划，在集群规模、体制机制建设、管理运营模式、国际化程度、学术影响力、数字出版传播平台建设方面勇于开拓创新，在推动学科交叉融合与创新发展、构建学术共同体、服务我国科技期刊行业整体发展、培养期刊人才等方面成效显著，集群入选国家重大科技期刊项目。</w:t>
            </w:r>
          </w:p>
        </w:tc>
      </w:tr>
      <w:tr w14:paraId="3BA0730C">
        <w:tblPrEx>
          <w:tblCellMar>
            <w:top w:w="0" w:type="dxa"/>
            <w:left w:w="108" w:type="dxa"/>
            <w:bottom w:w="0" w:type="dxa"/>
            <w:right w:w="108" w:type="dxa"/>
          </w:tblCellMar>
        </w:tblPrEx>
        <w:trPr>
          <w:jc w:val="center"/>
        </w:trPr>
        <w:tc>
          <w:tcPr>
            <w:tcW w:w="0" w:type="auto"/>
            <w:vMerge w:val="continue"/>
            <w:tcBorders>
              <w:top w:val="nil"/>
              <w:left w:val="single" w:color="000000" w:sz="4" w:space="0"/>
              <w:bottom w:val="single" w:color="000000" w:sz="4" w:space="0"/>
              <w:right w:val="single" w:color="000000" w:sz="4" w:space="0"/>
            </w:tcBorders>
            <w:shd w:val="clear" w:color="auto" w:fill="FFFFFF"/>
            <w:noWrap w:val="0"/>
            <w:vAlign w:val="center"/>
          </w:tcPr>
          <w:p w14:paraId="42B9309B">
            <w:pPr>
              <w:rPr>
                <w:rFonts w:ascii="黑体" w:hAnsi="黑体" w:eastAsia="黑体"/>
                <w:sz w:val="24"/>
              </w:rPr>
            </w:pPr>
          </w:p>
        </w:tc>
        <w:tc>
          <w:tcPr>
            <w:tcW w:w="1867" w:type="dxa"/>
            <w:tcBorders>
              <w:top w:val="single" w:color="auto" w:sz="4" w:space="0"/>
              <w:left w:val="nil"/>
              <w:bottom w:val="single" w:color="000000" w:sz="4" w:space="0"/>
              <w:right w:val="single" w:color="000000" w:sz="4" w:space="0"/>
            </w:tcBorders>
            <w:shd w:val="clear" w:color="auto" w:fill="FFFFFF"/>
            <w:noWrap w:val="0"/>
            <w:vAlign w:val="center"/>
          </w:tcPr>
          <w:p w14:paraId="33FE083E">
            <w:pPr>
              <w:jc w:val="both"/>
              <w:rPr>
                <w:rFonts w:ascii="黑体" w:hAnsi="黑体" w:eastAsia="黑体"/>
                <w:sz w:val="24"/>
              </w:rPr>
            </w:pPr>
            <w:r>
              <w:rPr>
                <w:rFonts w:hint="eastAsia" w:ascii="黑体" w:hAnsi="黑体" w:eastAsia="黑体"/>
                <w:sz w:val="24"/>
                <w:lang w:eastAsia="zh-CN"/>
              </w:rPr>
              <w:t>□</w:t>
            </w:r>
            <w:r>
              <w:rPr>
                <w:rFonts w:ascii="黑体" w:hAnsi="黑体" w:eastAsia="黑体"/>
                <w:sz w:val="24"/>
              </w:rPr>
              <w:t>科技期刊出版融合案例</w:t>
            </w:r>
          </w:p>
        </w:tc>
        <w:tc>
          <w:tcPr>
            <w:tcW w:w="4883" w:type="dxa"/>
            <w:gridSpan w:val="3"/>
            <w:tcBorders>
              <w:top w:val="single" w:color="auto" w:sz="4" w:space="0"/>
              <w:left w:val="nil"/>
              <w:bottom w:val="single" w:color="000000" w:sz="4" w:space="0"/>
              <w:right w:val="single" w:color="000000" w:sz="4" w:space="0"/>
            </w:tcBorders>
            <w:shd w:val="clear" w:color="auto" w:fill="FFFFFF"/>
            <w:noWrap w:val="0"/>
            <w:vAlign w:val="center"/>
          </w:tcPr>
          <w:p w14:paraId="2AB8E43F">
            <w:pPr>
              <w:rPr>
                <w:rFonts w:ascii="仿宋" w:hAnsi="仿宋" w:eastAsia="仿宋"/>
                <w:sz w:val="24"/>
              </w:rPr>
            </w:pPr>
            <w:r>
              <w:rPr>
                <w:rFonts w:ascii="仿宋" w:hAnsi="仿宋" w:eastAsia="仿宋"/>
                <w:sz w:val="24"/>
              </w:rPr>
              <w:t>科技期刊积极拥抱数字技术，利用虚拟现实、人工智能、大数据、语义出版等先进技术，对内容生产、传播和运营进行全方位、立体化的升级，打造微信、微博、短视频、播客等多平台、多渠道的传播体系，加强纸刊、网站、新媒体平台的互通联动，通过整合多种媒体资源，不断拓展科技期刊知识服务的广度和深度。</w:t>
            </w:r>
          </w:p>
        </w:tc>
      </w:tr>
      <w:tr w14:paraId="1E337D4D">
        <w:tblPrEx>
          <w:tblCellMar>
            <w:top w:w="0" w:type="dxa"/>
            <w:left w:w="108" w:type="dxa"/>
            <w:bottom w:w="0" w:type="dxa"/>
            <w:right w:w="108" w:type="dxa"/>
          </w:tblCellMar>
        </w:tblPrEx>
        <w:trPr>
          <w:jc w:val="center"/>
        </w:trPr>
        <w:tc>
          <w:tcPr>
            <w:tcW w:w="0" w:type="auto"/>
            <w:vMerge w:val="continue"/>
            <w:tcBorders>
              <w:top w:val="nil"/>
              <w:left w:val="single" w:color="000000" w:sz="4" w:space="0"/>
              <w:bottom w:val="single" w:color="000000" w:sz="4" w:space="0"/>
              <w:right w:val="single" w:color="000000" w:sz="4" w:space="0"/>
            </w:tcBorders>
            <w:shd w:val="clear" w:color="auto" w:fill="FFFFFF"/>
            <w:noWrap w:val="0"/>
            <w:vAlign w:val="center"/>
          </w:tcPr>
          <w:p w14:paraId="48EFA050">
            <w:pPr>
              <w:rPr>
                <w:rFonts w:ascii="黑体" w:hAnsi="黑体" w:eastAsia="黑体"/>
                <w:sz w:val="24"/>
              </w:rPr>
            </w:pPr>
          </w:p>
        </w:tc>
        <w:tc>
          <w:tcPr>
            <w:tcW w:w="1867" w:type="dxa"/>
            <w:tcBorders>
              <w:top w:val="nil"/>
              <w:left w:val="nil"/>
              <w:bottom w:val="single" w:color="000000" w:sz="4" w:space="0"/>
              <w:right w:val="single" w:color="000000" w:sz="4" w:space="0"/>
            </w:tcBorders>
            <w:shd w:val="clear" w:color="auto" w:fill="FFFFFF"/>
            <w:noWrap w:val="0"/>
            <w:vAlign w:val="center"/>
          </w:tcPr>
          <w:p w14:paraId="0D2CE923">
            <w:pPr>
              <w:jc w:val="both"/>
              <w:rPr>
                <w:rFonts w:ascii="黑体" w:hAnsi="黑体" w:eastAsia="黑体"/>
                <w:sz w:val="24"/>
              </w:rPr>
            </w:pPr>
            <w:r>
              <w:rPr>
                <w:rFonts w:hint="eastAsia" w:ascii="黑体" w:hAnsi="黑体" w:eastAsia="黑体"/>
                <w:sz w:val="24"/>
                <w:lang w:eastAsia="zh-CN"/>
              </w:rPr>
              <w:t>□</w:t>
            </w:r>
            <w:r>
              <w:rPr>
                <w:rFonts w:ascii="黑体" w:hAnsi="黑体" w:eastAsia="黑体"/>
                <w:sz w:val="24"/>
              </w:rPr>
              <w:t>科技期刊开展科普工作案例</w:t>
            </w:r>
          </w:p>
        </w:tc>
        <w:tc>
          <w:tcPr>
            <w:tcW w:w="4883" w:type="dxa"/>
            <w:gridSpan w:val="3"/>
            <w:tcBorders>
              <w:top w:val="nil"/>
              <w:left w:val="nil"/>
              <w:bottom w:val="single" w:color="000000" w:sz="4" w:space="0"/>
              <w:right w:val="single" w:color="000000" w:sz="4" w:space="0"/>
            </w:tcBorders>
            <w:shd w:val="clear" w:color="auto" w:fill="FFFFFF"/>
            <w:noWrap w:val="0"/>
            <w:vAlign w:val="center"/>
          </w:tcPr>
          <w:p w14:paraId="445F4F89">
            <w:pPr>
              <w:rPr>
                <w:rFonts w:ascii="仿宋" w:hAnsi="仿宋" w:eastAsia="仿宋"/>
                <w:sz w:val="24"/>
              </w:rPr>
            </w:pPr>
            <w:r>
              <w:rPr>
                <w:rFonts w:ascii="仿宋" w:hAnsi="仿宋" w:eastAsia="仿宋"/>
                <w:sz w:val="24"/>
              </w:rPr>
              <w:t>科技期刊具有强烈的科普主体责任意识，积极利用先进数字技术全方位、立体化展示科研成果，积极打造微信、微博、短视频等全媒体科普传播矩阵，与科普机构、科研团队等合作开发科普资源，积极开展线上线下科普活动，让科学知识生动形象、触手可及，产生了广泛而良好的社会影响。</w:t>
            </w:r>
          </w:p>
        </w:tc>
      </w:tr>
      <w:tr w14:paraId="3FA2497D">
        <w:tblPrEx>
          <w:tblCellMar>
            <w:top w:w="0" w:type="dxa"/>
            <w:left w:w="108" w:type="dxa"/>
            <w:bottom w:w="0" w:type="dxa"/>
            <w:right w:w="108" w:type="dxa"/>
          </w:tblCellMar>
        </w:tblPrEx>
        <w:trPr>
          <w:jc w:val="center"/>
        </w:trPr>
        <w:tc>
          <w:tcPr>
            <w:tcW w:w="0" w:type="auto"/>
            <w:vMerge w:val="continue"/>
            <w:tcBorders>
              <w:top w:val="nil"/>
              <w:left w:val="single" w:color="000000" w:sz="4" w:space="0"/>
              <w:bottom w:val="single" w:color="000000" w:sz="4" w:space="0"/>
              <w:right w:val="single" w:color="000000" w:sz="4" w:space="0"/>
            </w:tcBorders>
            <w:shd w:val="clear" w:color="auto" w:fill="FFFFFF"/>
            <w:noWrap w:val="0"/>
            <w:vAlign w:val="center"/>
          </w:tcPr>
          <w:p w14:paraId="5DEF0205">
            <w:pPr>
              <w:rPr>
                <w:rFonts w:ascii="黑体" w:hAnsi="黑体" w:eastAsia="黑体"/>
                <w:sz w:val="24"/>
              </w:rPr>
            </w:pPr>
          </w:p>
        </w:tc>
        <w:tc>
          <w:tcPr>
            <w:tcW w:w="1867" w:type="dxa"/>
            <w:tcBorders>
              <w:top w:val="nil"/>
              <w:left w:val="nil"/>
              <w:bottom w:val="single" w:color="000000" w:sz="4" w:space="0"/>
              <w:right w:val="single" w:color="000000" w:sz="4" w:space="0"/>
            </w:tcBorders>
            <w:shd w:val="clear" w:color="auto" w:fill="FFFFFF"/>
            <w:noWrap w:val="0"/>
            <w:vAlign w:val="center"/>
          </w:tcPr>
          <w:p w14:paraId="0A683278">
            <w:pPr>
              <w:jc w:val="both"/>
              <w:rPr>
                <w:rFonts w:ascii="黑体" w:hAnsi="黑体" w:eastAsia="黑体"/>
                <w:sz w:val="24"/>
              </w:rPr>
            </w:pPr>
            <w:r>
              <w:rPr>
                <w:rFonts w:hint="eastAsia" w:ascii="黑体" w:hAnsi="黑体" w:eastAsia="黑体"/>
                <w:sz w:val="24"/>
                <w:lang w:eastAsia="zh-CN"/>
              </w:rPr>
              <w:t>□</w:t>
            </w:r>
            <w:r>
              <w:rPr>
                <w:rFonts w:ascii="黑体" w:hAnsi="黑体" w:eastAsia="黑体"/>
                <w:sz w:val="24"/>
              </w:rPr>
              <w:t>科技期刊国际影响力提升案例</w:t>
            </w:r>
          </w:p>
        </w:tc>
        <w:tc>
          <w:tcPr>
            <w:tcW w:w="4883" w:type="dxa"/>
            <w:gridSpan w:val="3"/>
            <w:tcBorders>
              <w:top w:val="nil"/>
              <w:left w:val="nil"/>
              <w:bottom w:val="single" w:color="000000" w:sz="4" w:space="0"/>
              <w:right w:val="single" w:color="000000" w:sz="4" w:space="0"/>
            </w:tcBorders>
            <w:shd w:val="clear" w:color="auto" w:fill="FFFFFF"/>
            <w:noWrap w:val="0"/>
            <w:vAlign w:val="center"/>
          </w:tcPr>
          <w:p w14:paraId="243543F0">
            <w:pPr>
              <w:rPr>
                <w:rFonts w:ascii="仿宋" w:hAnsi="仿宋" w:eastAsia="仿宋"/>
                <w:sz w:val="24"/>
              </w:rPr>
            </w:pPr>
            <w:r>
              <w:rPr>
                <w:rFonts w:ascii="仿宋" w:hAnsi="仿宋" w:eastAsia="仿宋"/>
                <w:sz w:val="24"/>
              </w:rPr>
              <w:t>期刊引证指标大幅增长，被国际知名数据库收录，国际稿源和国际编委比例显著提高，加入主流国际出版行业协会和标准化组织，在海外媒体和搜索引擎上具有高显示度且被广泛关注，积极主办承办和参与领域相关学术会议和活动，不断提升在国际期刊界的话语权。</w:t>
            </w:r>
          </w:p>
        </w:tc>
      </w:tr>
      <w:tr w14:paraId="36C84F59">
        <w:tblPrEx>
          <w:tblCellMar>
            <w:top w:w="0" w:type="dxa"/>
            <w:left w:w="108" w:type="dxa"/>
            <w:bottom w:w="0" w:type="dxa"/>
            <w:right w:w="108" w:type="dxa"/>
          </w:tblCellMar>
        </w:tblPrEx>
        <w:trPr>
          <w:jc w:val="center"/>
        </w:trPr>
        <w:tc>
          <w:tcPr>
            <w:tcW w:w="0" w:type="auto"/>
            <w:vMerge w:val="continue"/>
            <w:tcBorders>
              <w:top w:val="nil"/>
              <w:left w:val="single" w:color="000000" w:sz="4" w:space="0"/>
              <w:bottom w:val="single" w:color="auto" w:sz="4" w:space="0"/>
              <w:right w:val="single" w:color="000000" w:sz="4" w:space="0"/>
            </w:tcBorders>
            <w:shd w:val="clear" w:color="auto" w:fill="FFFFFF"/>
            <w:noWrap w:val="0"/>
            <w:vAlign w:val="center"/>
          </w:tcPr>
          <w:p w14:paraId="6C7B9474">
            <w:pPr>
              <w:rPr>
                <w:rFonts w:ascii="黑体" w:hAnsi="黑体" w:eastAsia="黑体"/>
                <w:sz w:val="24"/>
              </w:rPr>
            </w:pPr>
          </w:p>
        </w:tc>
        <w:tc>
          <w:tcPr>
            <w:tcW w:w="1867" w:type="dxa"/>
            <w:tcBorders>
              <w:top w:val="nil"/>
              <w:left w:val="nil"/>
              <w:bottom w:val="single" w:color="auto" w:sz="4" w:space="0"/>
              <w:right w:val="single" w:color="000000" w:sz="4" w:space="0"/>
            </w:tcBorders>
            <w:shd w:val="clear" w:color="auto" w:fill="FFFFFF"/>
            <w:noWrap w:val="0"/>
            <w:vAlign w:val="center"/>
          </w:tcPr>
          <w:p w14:paraId="1A19C62C">
            <w:pPr>
              <w:jc w:val="both"/>
              <w:rPr>
                <w:rFonts w:ascii="黑体" w:hAnsi="黑体" w:eastAsia="黑体"/>
                <w:sz w:val="24"/>
              </w:rPr>
            </w:pPr>
            <w:r>
              <w:rPr>
                <w:rFonts w:hint="eastAsia" w:ascii="黑体" w:hAnsi="黑体" w:eastAsia="黑体"/>
                <w:sz w:val="24"/>
                <w:lang w:eastAsia="zh-CN"/>
              </w:rPr>
              <w:t>□</w:t>
            </w:r>
            <w:r>
              <w:rPr>
                <w:rFonts w:ascii="黑体" w:hAnsi="黑体" w:eastAsia="黑体"/>
                <w:sz w:val="24"/>
              </w:rPr>
              <w:t>科技期刊人才建设案例</w:t>
            </w:r>
          </w:p>
        </w:tc>
        <w:tc>
          <w:tcPr>
            <w:tcW w:w="4883" w:type="dxa"/>
            <w:gridSpan w:val="3"/>
            <w:tcBorders>
              <w:top w:val="nil"/>
              <w:left w:val="nil"/>
              <w:bottom w:val="single" w:color="auto" w:sz="4" w:space="0"/>
              <w:right w:val="single" w:color="000000" w:sz="4" w:space="0"/>
            </w:tcBorders>
            <w:shd w:val="clear" w:color="auto" w:fill="FFFFFF"/>
            <w:noWrap w:val="0"/>
            <w:vAlign w:val="center"/>
          </w:tcPr>
          <w:p w14:paraId="5B14BADA">
            <w:pPr>
              <w:rPr>
                <w:rFonts w:ascii="仿宋" w:hAnsi="仿宋" w:eastAsia="仿宋"/>
                <w:sz w:val="24"/>
              </w:rPr>
            </w:pPr>
            <w:r>
              <w:rPr>
                <w:rFonts w:ascii="仿宋" w:hAnsi="仿宋" w:eastAsia="仿宋"/>
                <w:sz w:val="24"/>
              </w:rPr>
              <w:t>多年从事科技期刊编辑出版、管理运营工作，具备过硬的专业能力、超前的创新意识和积极的团队精神，能够对期刊发展作出前瞻性、战略性的定位和规划，能够确保期刊内容保持高水准且严格遵守学术规范，个人承担过重大科技期刊项目或编辑出版学科研课题，获得过行业奖项，积极挖掘和扶植业务新秀。</w:t>
            </w:r>
          </w:p>
        </w:tc>
      </w:tr>
      <w:tr w14:paraId="475157AD">
        <w:tblPrEx>
          <w:tblCellMar>
            <w:top w:w="0" w:type="dxa"/>
            <w:left w:w="108" w:type="dxa"/>
            <w:bottom w:w="0" w:type="dxa"/>
            <w:right w:w="108" w:type="dxa"/>
          </w:tblCellMar>
        </w:tblPrEx>
        <w:trPr>
          <w:jc w:val="center"/>
        </w:trPr>
        <w:tc>
          <w:tcPr>
            <w:tcW w:w="154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BF343E3">
            <w:pPr>
              <w:jc w:val="center"/>
              <w:rPr>
                <w:rFonts w:ascii="黑体" w:hAnsi="黑体" w:eastAsia="黑体"/>
                <w:sz w:val="24"/>
              </w:rPr>
            </w:pPr>
            <w:r>
              <w:rPr>
                <w:rFonts w:ascii="黑体" w:hAnsi="黑体" w:eastAsia="黑体"/>
                <w:sz w:val="24"/>
              </w:rPr>
              <w:t>案例概述</w:t>
            </w:r>
          </w:p>
        </w:tc>
        <w:tc>
          <w:tcPr>
            <w:tcW w:w="6750" w:type="dxa"/>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14:paraId="7A0159F8">
            <w:pPr>
              <w:rPr>
                <w:rFonts w:ascii="仿宋" w:hAnsi="仿宋" w:eastAsia="仿宋"/>
                <w:sz w:val="21"/>
                <w:szCs w:val="21"/>
              </w:rPr>
            </w:pPr>
            <w:r>
              <w:rPr>
                <w:rFonts w:ascii="仿宋" w:hAnsi="仿宋" w:eastAsia="仿宋"/>
                <w:sz w:val="21"/>
                <w:szCs w:val="21"/>
              </w:rPr>
              <w:t>（不超过300字；紧扣案例类别；概述案例的背景、举措、业绩等，突出典型性、创新性等）</w:t>
            </w:r>
          </w:p>
          <w:p w14:paraId="285EF1D4">
            <w:pPr>
              <w:rPr>
                <w:rFonts w:ascii="仿宋" w:hAnsi="仿宋" w:eastAsia="仿宋"/>
                <w:sz w:val="24"/>
              </w:rPr>
            </w:pPr>
          </w:p>
          <w:p w14:paraId="48F7F4CE">
            <w:pPr>
              <w:rPr>
                <w:rFonts w:ascii="仿宋" w:hAnsi="仿宋" w:eastAsia="仿宋"/>
                <w:sz w:val="24"/>
              </w:rPr>
            </w:pPr>
          </w:p>
          <w:p w14:paraId="1890ED8A">
            <w:pPr>
              <w:rPr>
                <w:sz w:val="24"/>
              </w:rPr>
            </w:pPr>
          </w:p>
        </w:tc>
      </w:tr>
      <w:tr w14:paraId="7EE67173">
        <w:tblPrEx>
          <w:tblCellMar>
            <w:top w:w="0" w:type="dxa"/>
            <w:left w:w="108" w:type="dxa"/>
            <w:bottom w:w="0" w:type="dxa"/>
            <w:right w:w="108" w:type="dxa"/>
          </w:tblCellMar>
        </w:tblPrEx>
        <w:trPr>
          <w:jc w:val="center"/>
        </w:trPr>
        <w:tc>
          <w:tcPr>
            <w:tcW w:w="1545" w:type="dxa"/>
            <w:tcBorders>
              <w:top w:val="single" w:color="auto" w:sz="4" w:space="0"/>
              <w:left w:val="single" w:color="000000" w:sz="4" w:space="0"/>
              <w:bottom w:val="single" w:color="000000" w:sz="4" w:space="0"/>
              <w:right w:val="single" w:color="auto" w:sz="4" w:space="0"/>
            </w:tcBorders>
            <w:shd w:val="clear" w:color="auto" w:fill="FFFFFF"/>
            <w:noWrap w:val="0"/>
            <w:vAlign w:val="center"/>
          </w:tcPr>
          <w:p w14:paraId="19341823">
            <w:pPr>
              <w:jc w:val="center"/>
              <w:rPr>
                <w:rFonts w:ascii="黑体" w:hAnsi="黑体" w:eastAsia="黑体"/>
                <w:sz w:val="24"/>
              </w:rPr>
            </w:pPr>
            <w:r>
              <w:rPr>
                <w:rFonts w:ascii="黑体" w:hAnsi="黑体" w:eastAsia="黑体"/>
                <w:sz w:val="24"/>
              </w:rPr>
              <w:t>报送单位</w:t>
            </w:r>
          </w:p>
          <w:p w14:paraId="5E86D419">
            <w:pPr>
              <w:jc w:val="center"/>
              <w:rPr>
                <w:sz w:val="24"/>
              </w:rPr>
            </w:pPr>
            <w:r>
              <w:rPr>
                <w:rFonts w:ascii="黑体" w:hAnsi="黑体" w:eastAsia="黑体"/>
                <w:sz w:val="24"/>
              </w:rPr>
              <w:t>意见</w:t>
            </w:r>
          </w:p>
        </w:tc>
        <w:tc>
          <w:tcPr>
            <w:tcW w:w="6750" w:type="dxa"/>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14:paraId="1D668AB8">
            <w:pPr>
              <w:rPr>
                <w:rFonts w:ascii="仿宋" w:hAnsi="仿宋" w:eastAsia="仿宋"/>
                <w:sz w:val="21"/>
                <w:szCs w:val="21"/>
              </w:rPr>
            </w:pPr>
            <w:r>
              <w:rPr>
                <w:rFonts w:ascii="仿宋" w:hAnsi="仿宋" w:eastAsia="仿宋"/>
                <w:sz w:val="21"/>
                <w:szCs w:val="21"/>
              </w:rPr>
              <w:t>（须出具明确意见）</w:t>
            </w:r>
          </w:p>
          <w:p w14:paraId="5EF83327">
            <w:pPr>
              <w:rPr>
                <w:rFonts w:ascii="仿宋" w:hAnsi="仿宋" w:eastAsia="仿宋"/>
                <w:sz w:val="24"/>
              </w:rPr>
            </w:pPr>
          </w:p>
          <w:p w14:paraId="38304B53">
            <w:pPr>
              <w:rPr>
                <w:rFonts w:ascii="仿宋" w:hAnsi="仿宋" w:eastAsia="仿宋"/>
                <w:sz w:val="24"/>
              </w:rPr>
            </w:pPr>
          </w:p>
          <w:p w14:paraId="2AA45074">
            <w:pPr>
              <w:rPr>
                <w:rFonts w:ascii="仿宋" w:hAnsi="仿宋" w:eastAsia="仿宋"/>
                <w:sz w:val="24"/>
              </w:rPr>
            </w:pPr>
          </w:p>
          <w:p w14:paraId="33C4A679">
            <w:pPr>
              <w:jc w:val="right"/>
              <w:rPr>
                <w:rFonts w:ascii="仿宋" w:hAnsi="仿宋" w:eastAsia="仿宋"/>
                <w:sz w:val="21"/>
                <w:szCs w:val="21"/>
              </w:rPr>
            </w:pPr>
            <w:r>
              <w:rPr>
                <w:rFonts w:ascii="仿宋" w:hAnsi="仿宋" w:eastAsia="仿宋"/>
                <w:sz w:val="21"/>
                <w:szCs w:val="21"/>
              </w:rPr>
              <w:t>（报送单位盖章）</w:t>
            </w:r>
          </w:p>
          <w:p w14:paraId="57010A36">
            <w:pPr>
              <w:ind w:right="210"/>
              <w:jc w:val="right"/>
              <w:rPr>
                <w:sz w:val="24"/>
              </w:rPr>
            </w:pPr>
            <w:r>
              <w:rPr>
                <w:rFonts w:ascii="仿宋" w:hAnsi="仿宋" w:eastAsia="仿宋"/>
                <w:sz w:val="21"/>
                <w:szCs w:val="21"/>
              </w:rPr>
              <w:t>年</w:t>
            </w:r>
            <w:r>
              <w:rPr>
                <w:rFonts w:hint="eastAsia" w:ascii="Calibri" w:hAnsi="Calibri" w:eastAsia="仿宋" w:cs="Calibri"/>
                <w:sz w:val="21"/>
                <w:szCs w:val="21"/>
                <w:lang w:val="en-US" w:eastAsia="zh-CN"/>
              </w:rPr>
              <w:t xml:space="preserve">    </w:t>
            </w:r>
            <w:r>
              <w:rPr>
                <w:rFonts w:ascii="仿宋" w:hAnsi="仿宋" w:eastAsia="仿宋"/>
                <w:sz w:val="21"/>
                <w:szCs w:val="21"/>
              </w:rPr>
              <w:t>月</w:t>
            </w:r>
            <w:r>
              <w:rPr>
                <w:rFonts w:hint="eastAsia" w:ascii="Calibri" w:hAnsi="Calibri" w:eastAsia="仿宋" w:cs="Calibri"/>
                <w:sz w:val="21"/>
                <w:szCs w:val="21"/>
                <w:lang w:val="en-US" w:eastAsia="zh-CN"/>
              </w:rPr>
              <w:t xml:space="preserve">    </w:t>
            </w:r>
            <w:r>
              <w:rPr>
                <w:rFonts w:ascii="仿宋" w:hAnsi="仿宋" w:eastAsia="仿宋"/>
                <w:sz w:val="21"/>
                <w:szCs w:val="21"/>
              </w:rPr>
              <w:t>日</w:t>
            </w:r>
          </w:p>
        </w:tc>
      </w:tr>
      <w:tr w14:paraId="36F21935">
        <w:tblPrEx>
          <w:tblCellMar>
            <w:top w:w="0" w:type="dxa"/>
            <w:left w:w="108" w:type="dxa"/>
            <w:bottom w:w="0" w:type="dxa"/>
            <w:right w:w="108" w:type="dxa"/>
          </w:tblCellMar>
        </w:tblPrEx>
        <w:trPr>
          <w:jc w:val="center"/>
        </w:trPr>
        <w:tc>
          <w:tcPr>
            <w:tcW w:w="8295" w:type="dxa"/>
            <w:gridSpan w:val="5"/>
            <w:tcBorders>
              <w:top w:val="nil"/>
              <w:left w:val="single" w:color="000000" w:sz="4" w:space="0"/>
              <w:bottom w:val="single" w:color="000000" w:sz="4" w:space="0"/>
              <w:right w:val="single" w:color="000000" w:sz="4" w:space="0"/>
            </w:tcBorders>
            <w:shd w:val="clear" w:color="auto" w:fill="FFFFFF"/>
            <w:noWrap w:val="0"/>
            <w:vAlign w:val="center"/>
          </w:tcPr>
          <w:p w14:paraId="52CD2853">
            <w:pPr>
              <w:spacing w:after="0" w:line="360" w:lineRule="auto"/>
              <w:rPr>
                <w:sz w:val="24"/>
              </w:rPr>
            </w:pPr>
            <w:r>
              <w:rPr>
                <w:rFonts w:ascii="黑体" w:hAnsi="黑体" w:eastAsia="黑体"/>
                <w:sz w:val="24"/>
              </w:rPr>
              <w:t>一、主要做法</w:t>
            </w:r>
          </w:p>
        </w:tc>
      </w:tr>
      <w:tr w14:paraId="7EB22A2F">
        <w:tblPrEx>
          <w:tblCellMar>
            <w:top w:w="0" w:type="dxa"/>
            <w:left w:w="108" w:type="dxa"/>
            <w:bottom w:w="0" w:type="dxa"/>
            <w:right w:w="108" w:type="dxa"/>
          </w:tblCellMar>
        </w:tblPrEx>
        <w:trPr>
          <w:jc w:val="center"/>
        </w:trPr>
        <w:tc>
          <w:tcPr>
            <w:tcW w:w="8295" w:type="dxa"/>
            <w:gridSpan w:val="5"/>
            <w:tcBorders>
              <w:top w:val="nil"/>
              <w:left w:val="single" w:color="000000" w:sz="4" w:space="0"/>
              <w:bottom w:val="single" w:color="auto" w:sz="4" w:space="0"/>
              <w:right w:val="single" w:color="000000" w:sz="4" w:space="0"/>
            </w:tcBorders>
            <w:shd w:val="clear" w:color="auto" w:fill="FFFFFF"/>
            <w:noWrap w:val="0"/>
            <w:vAlign w:val="center"/>
          </w:tcPr>
          <w:p w14:paraId="3C8FE046">
            <w:pPr>
              <w:rPr>
                <w:rFonts w:ascii="仿宋" w:hAnsi="仿宋" w:eastAsia="仿宋"/>
                <w:sz w:val="21"/>
                <w:szCs w:val="21"/>
              </w:rPr>
            </w:pPr>
            <w:r>
              <w:rPr>
                <w:rFonts w:ascii="仿宋" w:hAnsi="仿宋" w:eastAsia="仿宋"/>
                <w:sz w:val="21"/>
                <w:szCs w:val="21"/>
              </w:rPr>
              <w:t>（分点列出，每一点需提炼小标题；突出案例系统化、标准化的流程和机制；可另附页）</w:t>
            </w:r>
          </w:p>
          <w:p w14:paraId="23555434">
            <w:pPr>
              <w:rPr>
                <w:rFonts w:ascii="仿宋" w:hAnsi="仿宋" w:eastAsia="仿宋"/>
                <w:sz w:val="24"/>
              </w:rPr>
            </w:pPr>
          </w:p>
          <w:p w14:paraId="0E20244E">
            <w:pPr>
              <w:rPr>
                <w:rFonts w:ascii="仿宋" w:hAnsi="仿宋" w:eastAsia="仿宋"/>
                <w:sz w:val="24"/>
              </w:rPr>
            </w:pPr>
          </w:p>
          <w:p w14:paraId="1C929B29">
            <w:pPr>
              <w:rPr>
                <w:rFonts w:ascii="仿宋" w:hAnsi="仿宋" w:eastAsia="仿宋"/>
                <w:sz w:val="24"/>
              </w:rPr>
            </w:pPr>
          </w:p>
          <w:p w14:paraId="51D51A29">
            <w:pPr>
              <w:rPr>
                <w:sz w:val="24"/>
              </w:rPr>
            </w:pPr>
          </w:p>
        </w:tc>
      </w:tr>
      <w:tr w14:paraId="23E3FDB8">
        <w:tblPrEx>
          <w:tblCellMar>
            <w:top w:w="0" w:type="dxa"/>
            <w:left w:w="108" w:type="dxa"/>
            <w:bottom w:w="0" w:type="dxa"/>
            <w:right w:w="108" w:type="dxa"/>
          </w:tblCellMar>
        </w:tblPrEx>
        <w:trPr>
          <w:jc w:val="center"/>
        </w:trPr>
        <w:tc>
          <w:tcPr>
            <w:tcW w:w="8295" w:type="dxa"/>
            <w:gridSpan w:val="5"/>
            <w:tcBorders>
              <w:top w:val="single" w:color="auto" w:sz="4" w:space="0"/>
              <w:left w:val="single" w:color="auto" w:sz="4" w:space="0"/>
              <w:bottom w:val="single" w:color="000000" w:sz="4" w:space="0"/>
              <w:right w:val="single" w:color="auto" w:sz="4" w:space="0"/>
            </w:tcBorders>
            <w:shd w:val="clear" w:color="auto" w:fill="FFFFFF"/>
            <w:noWrap w:val="0"/>
            <w:vAlign w:val="center"/>
          </w:tcPr>
          <w:p w14:paraId="1DBDE3A5">
            <w:pPr>
              <w:spacing w:after="0" w:line="360" w:lineRule="auto"/>
              <w:rPr>
                <w:sz w:val="24"/>
              </w:rPr>
            </w:pPr>
            <w:r>
              <w:rPr>
                <w:rFonts w:ascii="黑体" w:hAnsi="黑体" w:eastAsia="黑体"/>
                <w:sz w:val="24"/>
              </w:rPr>
              <w:t>二、创新点及成效</w:t>
            </w:r>
          </w:p>
        </w:tc>
      </w:tr>
      <w:tr w14:paraId="61462245">
        <w:tblPrEx>
          <w:tblCellMar>
            <w:top w:w="0" w:type="dxa"/>
            <w:left w:w="108" w:type="dxa"/>
            <w:bottom w:w="0" w:type="dxa"/>
            <w:right w:w="108" w:type="dxa"/>
          </w:tblCellMar>
        </w:tblPrEx>
        <w:trPr>
          <w:jc w:val="center"/>
        </w:trPr>
        <w:tc>
          <w:tcPr>
            <w:tcW w:w="8295" w:type="dxa"/>
            <w:gridSpan w:val="5"/>
            <w:tcBorders>
              <w:top w:val="nil"/>
              <w:left w:val="single" w:color="auto" w:sz="4" w:space="0"/>
              <w:bottom w:val="single" w:color="auto" w:sz="4" w:space="0"/>
              <w:right w:val="single" w:color="auto" w:sz="4" w:space="0"/>
            </w:tcBorders>
            <w:shd w:val="clear" w:color="auto" w:fill="FFFFFF"/>
            <w:noWrap w:val="0"/>
            <w:vAlign w:val="center"/>
          </w:tcPr>
          <w:p w14:paraId="7B589783">
            <w:pPr>
              <w:rPr>
                <w:rFonts w:ascii="仿宋" w:hAnsi="仿宋" w:eastAsia="仿宋"/>
                <w:sz w:val="21"/>
                <w:szCs w:val="21"/>
              </w:rPr>
            </w:pPr>
            <w:r>
              <w:rPr>
                <w:rFonts w:ascii="仿宋" w:hAnsi="仿宋" w:eastAsia="仿宋"/>
                <w:sz w:val="21"/>
                <w:szCs w:val="21"/>
              </w:rPr>
              <w:t>（分点列出，每一点需提炼小标题；突出案例首创性、显著性的举措和业绩；可另附页）</w:t>
            </w:r>
          </w:p>
          <w:p w14:paraId="67A599DF">
            <w:pPr>
              <w:rPr>
                <w:rFonts w:ascii="仿宋" w:hAnsi="仿宋" w:eastAsia="仿宋"/>
                <w:sz w:val="24"/>
              </w:rPr>
            </w:pPr>
          </w:p>
          <w:p w14:paraId="62C7E3C9">
            <w:pPr>
              <w:rPr>
                <w:rFonts w:ascii="仿宋" w:hAnsi="仿宋" w:eastAsia="仿宋"/>
                <w:sz w:val="24"/>
              </w:rPr>
            </w:pPr>
          </w:p>
          <w:p w14:paraId="7C2ECC8E">
            <w:pPr>
              <w:rPr>
                <w:sz w:val="24"/>
              </w:rPr>
            </w:pPr>
          </w:p>
          <w:p w14:paraId="314B63E0">
            <w:pPr>
              <w:rPr>
                <w:sz w:val="24"/>
              </w:rPr>
            </w:pPr>
          </w:p>
        </w:tc>
      </w:tr>
      <w:tr w14:paraId="08815CE2">
        <w:tblPrEx>
          <w:tblCellMar>
            <w:top w:w="0" w:type="dxa"/>
            <w:left w:w="108" w:type="dxa"/>
            <w:bottom w:w="0" w:type="dxa"/>
            <w:right w:w="108" w:type="dxa"/>
          </w:tblCellMar>
        </w:tblPrEx>
        <w:trPr>
          <w:jc w:val="center"/>
        </w:trPr>
        <w:tc>
          <w:tcPr>
            <w:tcW w:w="8295" w:type="dxa"/>
            <w:gridSpan w:val="5"/>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274813">
            <w:pPr>
              <w:spacing w:after="0" w:line="360" w:lineRule="auto"/>
              <w:rPr>
                <w:sz w:val="24"/>
              </w:rPr>
            </w:pPr>
            <w:r>
              <w:rPr>
                <w:rFonts w:ascii="黑体" w:hAnsi="黑体" w:eastAsia="黑体"/>
                <w:sz w:val="24"/>
              </w:rPr>
              <w:t>三、经验启示</w:t>
            </w:r>
          </w:p>
        </w:tc>
      </w:tr>
      <w:tr w14:paraId="057719AE">
        <w:tblPrEx>
          <w:tblCellMar>
            <w:top w:w="0" w:type="dxa"/>
            <w:left w:w="108" w:type="dxa"/>
            <w:bottom w:w="0" w:type="dxa"/>
            <w:right w:w="108" w:type="dxa"/>
          </w:tblCellMar>
        </w:tblPrEx>
        <w:trPr>
          <w:jc w:val="center"/>
        </w:trPr>
        <w:tc>
          <w:tcPr>
            <w:tcW w:w="8295" w:type="dxa"/>
            <w:gridSpan w:val="5"/>
            <w:tcBorders>
              <w:top w:val="single" w:color="auto" w:sz="4" w:space="0"/>
              <w:left w:val="single" w:color="auto" w:sz="4" w:space="0"/>
              <w:bottom w:val="single" w:color="auto" w:sz="4" w:space="0"/>
              <w:right w:val="single" w:color="auto" w:sz="4" w:space="0"/>
            </w:tcBorders>
            <w:shd w:val="clear" w:color="auto" w:fill="FFFFFF"/>
            <w:noWrap w:val="0"/>
            <w:vAlign w:val="center"/>
          </w:tcPr>
          <w:p w14:paraId="598EA744">
            <w:pPr>
              <w:rPr>
                <w:rFonts w:ascii="仿宋" w:hAnsi="仿宋" w:eastAsia="仿宋"/>
                <w:sz w:val="21"/>
                <w:szCs w:val="21"/>
              </w:rPr>
            </w:pPr>
            <w:r>
              <w:rPr>
                <w:rFonts w:ascii="仿宋" w:hAnsi="仿宋" w:eastAsia="仿宋"/>
                <w:sz w:val="21"/>
                <w:szCs w:val="21"/>
              </w:rPr>
              <w:t>（分点列出，每一点需提炼小标题；突出案例可复制、可借鉴的经验和做法；可另附页）</w:t>
            </w:r>
          </w:p>
          <w:p w14:paraId="6F10E920">
            <w:pPr>
              <w:rPr>
                <w:rFonts w:ascii="仿宋" w:hAnsi="仿宋" w:eastAsia="仿宋"/>
                <w:sz w:val="24"/>
              </w:rPr>
            </w:pPr>
          </w:p>
          <w:p w14:paraId="05496ABE">
            <w:pPr>
              <w:rPr>
                <w:rFonts w:ascii="仿宋" w:hAnsi="仿宋" w:eastAsia="仿宋"/>
                <w:sz w:val="24"/>
              </w:rPr>
            </w:pPr>
          </w:p>
          <w:p w14:paraId="24996850">
            <w:pPr>
              <w:rPr>
                <w:sz w:val="24"/>
              </w:rPr>
            </w:pPr>
          </w:p>
        </w:tc>
      </w:tr>
      <w:tr w14:paraId="0DD69E71">
        <w:tblPrEx>
          <w:tblCellMar>
            <w:top w:w="0" w:type="dxa"/>
            <w:left w:w="108" w:type="dxa"/>
            <w:bottom w:w="0" w:type="dxa"/>
            <w:right w:w="108" w:type="dxa"/>
          </w:tblCellMar>
        </w:tblPrEx>
        <w:trPr>
          <w:jc w:val="center"/>
        </w:trPr>
        <w:tc>
          <w:tcPr>
            <w:tcW w:w="8295" w:type="dxa"/>
            <w:gridSpan w:val="5"/>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620A083F">
            <w:pPr>
              <w:spacing w:after="0" w:line="360" w:lineRule="auto"/>
              <w:rPr>
                <w:sz w:val="24"/>
              </w:rPr>
            </w:pPr>
            <w:r>
              <w:rPr>
                <w:rFonts w:ascii="黑体" w:hAnsi="黑体" w:eastAsia="黑体"/>
                <w:sz w:val="24"/>
              </w:rPr>
              <w:t>四、媒体报道</w:t>
            </w:r>
          </w:p>
        </w:tc>
      </w:tr>
      <w:tr w14:paraId="176D5BB2">
        <w:tblPrEx>
          <w:tblCellMar>
            <w:top w:w="0" w:type="dxa"/>
            <w:left w:w="108" w:type="dxa"/>
            <w:bottom w:w="0" w:type="dxa"/>
            <w:right w:w="108" w:type="dxa"/>
          </w:tblCellMar>
        </w:tblPrEx>
        <w:trPr>
          <w:jc w:val="center"/>
        </w:trPr>
        <w:tc>
          <w:tcPr>
            <w:tcW w:w="8295" w:type="dxa"/>
            <w:gridSpan w:val="5"/>
            <w:tcBorders>
              <w:top w:val="nil"/>
              <w:left w:val="single" w:color="000000" w:sz="4" w:space="0"/>
              <w:bottom w:val="single" w:color="000000" w:sz="4" w:space="0"/>
              <w:right w:val="single" w:color="000000" w:sz="4" w:space="0"/>
            </w:tcBorders>
            <w:shd w:val="clear" w:color="auto" w:fill="FFFFFF"/>
            <w:noWrap w:val="0"/>
            <w:vAlign w:val="center"/>
          </w:tcPr>
          <w:p w14:paraId="5985DE63">
            <w:pPr>
              <w:rPr>
                <w:rFonts w:ascii="仿宋" w:hAnsi="仿宋" w:eastAsia="仿宋"/>
                <w:sz w:val="21"/>
                <w:szCs w:val="21"/>
              </w:rPr>
            </w:pPr>
            <w:r>
              <w:rPr>
                <w:rFonts w:ascii="仿宋" w:hAnsi="仿宋" w:eastAsia="仿宋"/>
                <w:sz w:val="21"/>
                <w:szCs w:val="21"/>
              </w:rPr>
              <w:t>（如有报道，请附报道链接，不超过3条）</w:t>
            </w:r>
          </w:p>
          <w:p w14:paraId="061C4671">
            <w:pPr>
              <w:rPr>
                <w:sz w:val="24"/>
              </w:rPr>
            </w:pPr>
          </w:p>
          <w:p w14:paraId="44EC023F">
            <w:pPr>
              <w:rPr>
                <w:sz w:val="24"/>
              </w:rPr>
            </w:pPr>
          </w:p>
          <w:p w14:paraId="02D302A4">
            <w:pPr>
              <w:rPr>
                <w:sz w:val="24"/>
              </w:rPr>
            </w:pPr>
          </w:p>
        </w:tc>
      </w:tr>
    </w:tbl>
    <w:p w14:paraId="6B131B96">
      <w:pPr>
        <w:jc w:val="both"/>
        <w:rPr>
          <w:rFonts w:hint="eastAsia" w:ascii="仿宋" w:hAnsi="仿宋" w:eastAsia="仿宋"/>
          <w:sz w:val="21"/>
          <w:szCs w:val="21"/>
        </w:rPr>
      </w:pPr>
      <w:r>
        <w:rPr>
          <w:rFonts w:ascii="仿宋" w:hAnsi="仿宋" w:eastAsia="仿宋"/>
          <w:sz w:val="21"/>
          <w:szCs w:val="21"/>
        </w:rPr>
        <w:t>注：1.“报送单位意见”栏须意见明确、公章齐全；2.请将与本表配套的图片或视频文件以附件形式同步发送至cujsoffice@cujs.org.cn（邮件主题请注明：2025年科技期刊服务高质量创新发展案例征集活动+案例申报名称）。</w:t>
      </w:r>
    </w:p>
    <w:p w14:paraId="003B71B2"/>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8B102F"/>
    <w:rsid w:val="6C8B102F"/>
    <w:rsid w:val="742B0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等线" w:hAnsi="等线" w:eastAsia="等线" w:cs="Times New Roman"/>
      <w:kern w:val="2"/>
      <w:sz w:val="22"/>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2025-08-28T05:54:00Z</dcterms:created>
  <dc:creator>ID 985002274</dc:creator>
  <cp:lastModifiedBy>ID 985002274</cp:lastModifiedBy>
  <dcterms:modified xsi:type="dcterms:W3CDTF">2025-08-28T05:56:35Z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8DE50403EA1C4404A1BD0017D679BC53_11</vt:lpwstr>
  </property>
  <property fmtid="{D5CDD505-2E9C-101B-9397-08002B2CF9AE}" pid="4" name="KSOTemplateDocerSaveRecord">
    <vt:lpwstr>eyJoZGlkIjoiMjFjZjZhNDdlNjI3NmRlMGQzZGMzNzVhYzAxMWYxYTIiLCJ1c2VySWQiOiI5ODUwMDIyNzQifQ==</vt:lpwstr>
  </property>
</Properties>
</file>